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4E709" w14:textId="77777777" w:rsidR="00E00DFA" w:rsidRDefault="003A18C1">
      <w:pPr>
        <w:ind w:left="-425" w:right="-324"/>
        <w:rPr>
          <w:color w:val="1C4587"/>
          <w:sz w:val="38"/>
          <w:szCs w:val="38"/>
        </w:rPr>
      </w:pPr>
      <w:r>
        <w:rPr>
          <w:color w:val="1C4587"/>
          <w:sz w:val="38"/>
          <w:szCs w:val="38"/>
        </w:rPr>
        <w:t>British Handball Association: Disciplinary Policy</w:t>
      </w:r>
    </w:p>
    <w:p w14:paraId="15C002C3" w14:textId="77777777" w:rsidR="00E00DFA" w:rsidRDefault="00E00DFA">
      <w:pPr>
        <w:ind w:left="-425" w:right="-324"/>
        <w:rPr>
          <w:color w:val="1C4587"/>
          <w:sz w:val="38"/>
          <w:szCs w:val="38"/>
        </w:rPr>
      </w:pPr>
    </w:p>
    <w:p w14:paraId="0236B90D" w14:textId="77777777" w:rsidR="00E00DFA" w:rsidRDefault="003A18C1">
      <w:pPr>
        <w:numPr>
          <w:ilvl w:val="0"/>
          <w:numId w:val="4"/>
        </w:numPr>
        <w:ind w:right="-324"/>
        <w:jc w:val="both"/>
        <w:rPr>
          <w:b/>
          <w:color w:val="1C4587"/>
          <w:sz w:val="24"/>
          <w:szCs w:val="24"/>
        </w:rPr>
      </w:pPr>
      <w:r>
        <w:rPr>
          <w:b/>
          <w:color w:val="1C4587"/>
          <w:sz w:val="24"/>
          <w:szCs w:val="24"/>
        </w:rPr>
        <w:t>Purpose and scope</w:t>
      </w:r>
    </w:p>
    <w:p w14:paraId="0865E2C5" w14:textId="77777777" w:rsidR="00E00DFA" w:rsidRDefault="003A18C1">
      <w:pPr>
        <w:spacing w:line="240" w:lineRule="auto"/>
        <w:ind w:left="-425" w:right="-324"/>
        <w:jc w:val="both"/>
      </w:pPr>
      <w:r>
        <w:t xml:space="preserve">There are standards of conduct and behaviour required of all athletes, staff and volunteers and others engaged in handball. Regrettably there will be occasions when someone will breach those standards. Although such incidents are rare it is important that the British Handball Association (BHA) and the Home Nations deal with Serious Misconduct breaches in a fair, consistent and timely manner. </w:t>
      </w:r>
    </w:p>
    <w:p w14:paraId="47B95824" w14:textId="77777777" w:rsidR="00E00DFA" w:rsidRDefault="00E00DFA">
      <w:pPr>
        <w:ind w:left="-425" w:right="-324"/>
        <w:jc w:val="both"/>
      </w:pPr>
    </w:p>
    <w:p w14:paraId="2C772CDE" w14:textId="609B0899" w:rsidR="00E00DFA" w:rsidRDefault="003A18C1">
      <w:pPr>
        <w:ind w:left="-425" w:right="-324"/>
        <w:jc w:val="both"/>
      </w:pPr>
      <w:r>
        <w:t>Wherever possible, minor discipline issues should be resolved informally</w:t>
      </w:r>
      <w:r w:rsidR="00046E96">
        <w:t xml:space="preserve"> but still logged in case of repeated poor practice</w:t>
      </w:r>
      <w:r>
        <w:t xml:space="preserve">.  The board/ managers/coaches, where appropriate, should talk about the improvement in conduct or performance that is required.  In some cases, additional training, coaching and advice may be what is needed.  </w:t>
      </w:r>
    </w:p>
    <w:p w14:paraId="73011C5C" w14:textId="77777777" w:rsidR="00E00DFA" w:rsidRDefault="00E00DFA">
      <w:pPr>
        <w:spacing w:line="240" w:lineRule="auto"/>
        <w:ind w:left="-425" w:right="-324"/>
        <w:jc w:val="both"/>
      </w:pPr>
    </w:p>
    <w:p w14:paraId="0CA9DBDA" w14:textId="77777777" w:rsidR="00E00DFA" w:rsidRDefault="003A18C1">
      <w:pPr>
        <w:spacing w:line="240" w:lineRule="auto"/>
        <w:ind w:left="-425" w:right="-324"/>
        <w:jc w:val="both"/>
      </w:pPr>
      <w:r>
        <w:t xml:space="preserve">There will be situations where matters are more serious. This policy provides a clear and robust mechanism for dealing with a Complaint to the BHA of Serious Misconduct (as outlined in this Disciplinary Policy) which constitutes a breach of BHA rules, policies, regulations, codes of ethics and/or practice, conduct and values. </w:t>
      </w:r>
    </w:p>
    <w:p w14:paraId="6B63F95C" w14:textId="77777777" w:rsidR="00E00DFA" w:rsidRDefault="00E00DFA">
      <w:pPr>
        <w:spacing w:line="240" w:lineRule="auto"/>
        <w:ind w:left="-425" w:right="-324"/>
        <w:jc w:val="both"/>
      </w:pPr>
    </w:p>
    <w:p w14:paraId="75621CFA" w14:textId="77777777" w:rsidR="00E00DFA" w:rsidRDefault="003A18C1">
      <w:pPr>
        <w:spacing w:line="240" w:lineRule="auto"/>
        <w:ind w:left="-425" w:right="-324"/>
        <w:jc w:val="both"/>
      </w:pPr>
      <w:r>
        <w:t>This Disciplinary Policy provides a framework to enable Disciplinary Action to be managed effectively within the sport of handball. It ensures transparent procedures are in place, disciplinary cases are investigated fairly, and the appropriate process is followed in a fair and consistent manner.</w:t>
      </w:r>
    </w:p>
    <w:p w14:paraId="4FFEAC03" w14:textId="77777777" w:rsidR="00E00DFA" w:rsidRDefault="00E00DFA">
      <w:pPr>
        <w:spacing w:line="240" w:lineRule="auto"/>
        <w:ind w:left="-425" w:right="-324"/>
        <w:jc w:val="both"/>
      </w:pPr>
    </w:p>
    <w:p w14:paraId="7819DF67" w14:textId="77777777" w:rsidR="00E00DFA" w:rsidRDefault="003A18C1">
      <w:pPr>
        <w:spacing w:line="240" w:lineRule="auto"/>
        <w:ind w:left="-425" w:right="-324"/>
        <w:jc w:val="both"/>
      </w:pPr>
      <w:r>
        <w:t>This policy relates to anyone within the British Handball set up as an athlete, staff or volunteer.</w:t>
      </w:r>
    </w:p>
    <w:p w14:paraId="139C7D57" w14:textId="77777777" w:rsidR="00E00DFA" w:rsidRDefault="00E00DFA">
      <w:pPr>
        <w:jc w:val="both"/>
        <w:rPr>
          <w:sz w:val="17"/>
          <w:szCs w:val="17"/>
        </w:rPr>
      </w:pPr>
    </w:p>
    <w:tbl>
      <w:tblPr>
        <w:tblStyle w:val="1"/>
        <w:tblW w:w="9240" w:type="dxa"/>
        <w:tblBorders>
          <w:top w:val="nil"/>
          <w:left w:val="nil"/>
          <w:bottom w:val="nil"/>
          <w:right w:val="nil"/>
          <w:insideH w:val="nil"/>
          <w:insideV w:val="nil"/>
        </w:tblBorders>
        <w:tblLayout w:type="fixed"/>
        <w:tblLook w:val="0600" w:firstRow="0" w:lastRow="0" w:firstColumn="0" w:lastColumn="0" w:noHBand="1" w:noVBand="1"/>
      </w:tblPr>
      <w:tblGrid>
        <w:gridCol w:w="9240"/>
      </w:tblGrid>
      <w:tr w:rsidR="00E00DFA" w14:paraId="5B02897E" w14:textId="77777777">
        <w:trPr>
          <w:trHeight w:val="1872"/>
        </w:trPr>
        <w:tc>
          <w:tcPr>
            <w:tcW w:w="9240" w:type="dxa"/>
            <w:tcBorders>
              <w:top w:val="single" w:sz="3" w:space="0" w:color="000000"/>
              <w:left w:val="single" w:sz="3" w:space="0" w:color="000000"/>
              <w:bottom w:val="single" w:sz="3" w:space="0" w:color="000000"/>
              <w:right w:val="single" w:sz="3" w:space="0" w:color="000000"/>
            </w:tcBorders>
            <w:shd w:val="clear" w:color="auto" w:fill="BFBFBF"/>
            <w:tcMar>
              <w:top w:w="60" w:type="dxa"/>
              <w:left w:w="60" w:type="dxa"/>
              <w:bottom w:w="60" w:type="dxa"/>
              <w:right w:w="60" w:type="dxa"/>
            </w:tcMar>
          </w:tcPr>
          <w:p w14:paraId="75811D16" w14:textId="77777777" w:rsidR="00E00DFA" w:rsidRDefault="003A18C1">
            <w:pPr>
              <w:spacing w:after="100"/>
              <w:jc w:val="both"/>
              <w:rPr>
                <w:b/>
                <w:sz w:val="20"/>
                <w:szCs w:val="20"/>
              </w:rPr>
            </w:pPr>
            <w:r>
              <w:rPr>
                <w:b/>
                <w:sz w:val="20"/>
                <w:szCs w:val="20"/>
              </w:rPr>
              <w:t>If the issue relates to:</w:t>
            </w:r>
          </w:p>
          <w:p w14:paraId="7545D4D1" w14:textId="77777777" w:rsidR="00E00DFA" w:rsidRDefault="003A18C1">
            <w:pPr>
              <w:numPr>
                <w:ilvl w:val="0"/>
                <w:numId w:val="2"/>
              </w:numPr>
              <w:spacing w:before="240"/>
              <w:jc w:val="both"/>
              <w:rPr>
                <w:sz w:val="20"/>
                <w:szCs w:val="20"/>
              </w:rPr>
            </w:pPr>
            <w:r>
              <w:rPr>
                <w:b/>
                <w:sz w:val="20"/>
                <w:szCs w:val="20"/>
              </w:rPr>
              <w:t xml:space="preserve">An Athlete who is under 18 or an adult at risk, the designated safeguarding lead </w:t>
            </w:r>
            <w:r>
              <w:rPr>
                <w:b/>
                <w:sz w:val="20"/>
                <w:szCs w:val="20"/>
                <w:u w:val="single"/>
              </w:rPr>
              <w:t>must</w:t>
            </w:r>
            <w:r>
              <w:rPr>
                <w:b/>
                <w:sz w:val="20"/>
                <w:szCs w:val="20"/>
              </w:rPr>
              <w:t xml:space="preserve"> be informed at the start (see BHA Safeguarding in Children Policy).</w:t>
            </w:r>
          </w:p>
          <w:p w14:paraId="130251A3" w14:textId="77777777" w:rsidR="00E00DFA" w:rsidRDefault="003A18C1">
            <w:pPr>
              <w:numPr>
                <w:ilvl w:val="0"/>
                <w:numId w:val="2"/>
              </w:numPr>
              <w:spacing w:after="340"/>
              <w:jc w:val="both"/>
              <w:rPr>
                <w:sz w:val="20"/>
                <w:szCs w:val="20"/>
              </w:rPr>
            </w:pPr>
            <w:r>
              <w:rPr>
                <w:b/>
                <w:sz w:val="20"/>
                <w:szCs w:val="20"/>
              </w:rPr>
              <w:t>Matters that might be criminal, legal/safeguarding advice must be taken and the matter referred to the statutory authorities before proceeding further.</w:t>
            </w:r>
          </w:p>
        </w:tc>
      </w:tr>
    </w:tbl>
    <w:p w14:paraId="0B619838" w14:textId="77777777" w:rsidR="00E00DFA" w:rsidRDefault="00E00DFA">
      <w:pPr>
        <w:jc w:val="both"/>
        <w:rPr>
          <w:sz w:val="17"/>
          <w:szCs w:val="17"/>
        </w:rPr>
      </w:pPr>
    </w:p>
    <w:p w14:paraId="3A194FF8" w14:textId="77777777" w:rsidR="00E00DFA" w:rsidRDefault="00E00DFA">
      <w:pPr>
        <w:ind w:left="-425" w:right="-324"/>
        <w:jc w:val="both"/>
      </w:pPr>
    </w:p>
    <w:p w14:paraId="781DBCB3" w14:textId="77777777" w:rsidR="00E00DFA" w:rsidRDefault="003A18C1">
      <w:pPr>
        <w:numPr>
          <w:ilvl w:val="0"/>
          <w:numId w:val="4"/>
        </w:numPr>
        <w:ind w:right="-324"/>
        <w:jc w:val="both"/>
        <w:rPr>
          <w:b/>
          <w:color w:val="1C4587"/>
          <w:sz w:val="24"/>
          <w:szCs w:val="24"/>
        </w:rPr>
      </w:pPr>
      <w:r>
        <w:rPr>
          <w:b/>
          <w:color w:val="1C4587"/>
          <w:sz w:val="24"/>
          <w:szCs w:val="24"/>
        </w:rPr>
        <w:t>Disciplinary examples</w:t>
      </w:r>
    </w:p>
    <w:p w14:paraId="27DD168A" w14:textId="77777777" w:rsidR="00E00DFA" w:rsidRDefault="003A18C1">
      <w:pPr>
        <w:spacing w:after="120"/>
        <w:ind w:left="-425"/>
        <w:jc w:val="both"/>
      </w:pPr>
      <w:r>
        <w:t>Disciplinary issues can include:</w:t>
      </w:r>
    </w:p>
    <w:p w14:paraId="67B67B2E" w14:textId="0DB97CC4" w:rsidR="00E00DFA" w:rsidRDefault="003A18C1">
      <w:pPr>
        <w:numPr>
          <w:ilvl w:val="0"/>
          <w:numId w:val="5"/>
        </w:numPr>
        <w:spacing w:after="240"/>
        <w:ind w:left="425" w:right="-324" w:hanging="425"/>
        <w:jc w:val="both"/>
      </w:pPr>
      <w:r>
        <w:t xml:space="preserve">Any behaviour (whether by action or omission) in a manner which the BHA considers (acting reasonably) is disgraceful or opposed to the general interests of the BHA or the sport of </w:t>
      </w:r>
      <w:r w:rsidR="00046E96">
        <w:t>handball or</w:t>
      </w:r>
      <w:r>
        <w:t xml:space="preserve"> is likely to bring the sport into serious disrepute.</w:t>
      </w:r>
    </w:p>
    <w:p w14:paraId="5EA085C0" w14:textId="44DA39B3" w:rsidR="00E00DFA" w:rsidRDefault="003A18C1">
      <w:pPr>
        <w:numPr>
          <w:ilvl w:val="0"/>
          <w:numId w:val="5"/>
        </w:numPr>
        <w:spacing w:before="200"/>
        <w:ind w:left="425" w:right="-324" w:hanging="425"/>
        <w:jc w:val="both"/>
      </w:pPr>
      <w:r>
        <w:t>Serious Misconduct: examples of Serious Misconduct include (without limitation) serious breach of BHA policies</w:t>
      </w:r>
      <w:r w:rsidR="00046E96">
        <w:t xml:space="preserve"> including Safeguarding and Anti-Doping</w:t>
      </w:r>
      <w:r>
        <w:t xml:space="preserve">, Code of Ethics, Codes of Practice, abuse (physical, emotional, psychological, sexual, financial) , theft, fraud, physical violence, discrimination (any of: age, disability, gender reassignment, marriage and civil partnership, pregnancy and maternity, race, religion or belief, sex, and sexual orientation), serious breach of applicable health and safety rules, gambling (the act or activity of betting money), bribery, or any act or omission of the Respondent which in the opinion of the BHA, </w:t>
      </w:r>
      <w:r>
        <w:lastRenderedPageBreak/>
        <w:t xml:space="preserve">acting reasonably, brings or is likely to bring the sport into disrepute. </w:t>
      </w:r>
      <w:r w:rsidR="00046E96">
        <w:t>Should the matter relate to a home nation, the BHA will work with them through this policy or a complimentary policy they abide by.</w:t>
      </w:r>
    </w:p>
    <w:p w14:paraId="4F38021F" w14:textId="77777777" w:rsidR="00E00DFA" w:rsidRDefault="003A18C1">
      <w:pPr>
        <w:numPr>
          <w:ilvl w:val="0"/>
          <w:numId w:val="5"/>
        </w:numPr>
        <w:spacing w:before="200"/>
        <w:ind w:left="425" w:right="-324" w:hanging="425"/>
        <w:jc w:val="both"/>
      </w:pPr>
      <w:r>
        <w:t>Breaching the term of any suspension</w:t>
      </w:r>
    </w:p>
    <w:p w14:paraId="32B64444" w14:textId="77777777" w:rsidR="00E00DFA" w:rsidRDefault="003A18C1">
      <w:pPr>
        <w:numPr>
          <w:ilvl w:val="0"/>
          <w:numId w:val="5"/>
        </w:numPr>
        <w:spacing w:before="200" w:after="360"/>
        <w:ind w:left="425" w:right="-324" w:hanging="425"/>
        <w:jc w:val="both"/>
      </w:pPr>
      <w:r>
        <w:t>Failure to maintain membership of affiliated handball organisations, coaching insurance or failure to complete mandatory training in line with your role.</w:t>
      </w:r>
    </w:p>
    <w:p w14:paraId="1565B8DA" w14:textId="77777777" w:rsidR="00E00DFA" w:rsidRDefault="003A18C1">
      <w:pPr>
        <w:spacing w:after="120"/>
        <w:ind w:left="-425"/>
        <w:jc w:val="both"/>
      </w:pPr>
      <w:r>
        <w:t>This is not an exhaustive list.</w:t>
      </w:r>
    </w:p>
    <w:p w14:paraId="7A7135FE" w14:textId="77777777" w:rsidR="00E00DFA" w:rsidRDefault="00E00DFA">
      <w:pPr>
        <w:ind w:left="-425" w:right="-324"/>
        <w:jc w:val="both"/>
      </w:pPr>
    </w:p>
    <w:p w14:paraId="64315751" w14:textId="77777777" w:rsidR="00E00DFA" w:rsidRDefault="003A18C1">
      <w:pPr>
        <w:numPr>
          <w:ilvl w:val="0"/>
          <w:numId w:val="4"/>
        </w:numPr>
        <w:ind w:right="-324"/>
        <w:jc w:val="both"/>
        <w:rPr>
          <w:b/>
          <w:color w:val="1C4587"/>
          <w:sz w:val="24"/>
          <w:szCs w:val="24"/>
        </w:rPr>
      </w:pPr>
      <w:r>
        <w:rPr>
          <w:b/>
          <w:color w:val="1C4587"/>
          <w:sz w:val="24"/>
          <w:szCs w:val="24"/>
        </w:rPr>
        <w:t>Standards</w:t>
      </w:r>
    </w:p>
    <w:p w14:paraId="53EFBCFB" w14:textId="79CF3980" w:rsidR="00E00DFA" w:rsidRDefault="003A18C1">
      <w:pPr>
        <w:ind w:left="-425"/>
        <w:jc w:val="both"/>
      </w:pPr>
      <w:r>
        <w:t>The BHA has clear standards of conduct, which are reflected in our Codes of Conducts and Handbooks</w:t>
      </w:r>
      <w:r w:rsidR="00046E96">
        <w:t xml:space="preserve"> </w:t>
      </w:r>
      <w:r w:rsidR="00046E96" w:rsidRPr="00046E96">
        <w:rPr>
          <w:color w:val="FF0000"/>
        </w:rPr>
        <w:t>(add links)</w:t>
      </w:r>
      <w:r w:rsidRPr="00046E96">
        <w:rPr>
          <w:color w:val="FF0000"/>
        </w:rPr>
        <w:t xml:space="preserve">.  </w:t>
      </w:r>
      <w:r>
        <w:t>They are explained on joining the BHA and are reinforced through regular updates.  These cover such areas as:</w:t>
      </w:r>
    </w:p>
    <w:p w14:paraId="2F31BB02" w14:textId="77777777" w:rsidR="00E00DFA" w:rsidRDefault="003A18C1">
      <w:pPr>
        <w:numPr>
          <w:ilvl w:val="0"/>
          <w:numId w:val="6"/>
        </w:numPr>
        <w:spacing w:before="240"/>
        <w:ind w:left="-425" w:firstLine="0"/>
        <w:jc w:val="both"/>
      </w:pPr>
      <w:r>
        <w:t>The requirement for being responsible and accountable for your conduct.</w:t>
      </w:r>
    </w:p>
    <w:p w14:paraId="21DFFCB1" w14:textId="77777777" w:rsidR="00E00DFA" w:rsidRDefault="003A18C1">
      <w:pPr>
        <w:numPr>
          <w:ilvl w:val="0"/>
          <w:numId w:val="6"/>
        </w:numPr>
        <w:ind w:left="283" w:hanging="708"/>
        <w:jc w:val="both"/>
      </w:pPr>
      <w:r>
        <w:t>Behaviour towards staff, volunteers and athletes, including respecting professional boundaries and the use of social media.</w:t>
      </w:r>
    </w:p>
    <w:p w14:paraId="28EDD849" w14:textId="77777777" w:rsidR="00E00DFA" w:rsidRDefault="003A18C1">
      <w:pPr>
        <w:numPr>
          <w:ilvl w:val="0"/>
          <w:numId w:val="6"/>
        </w:numPr>
        <w:ind w:left="-425" w:firstLine="0"/>
        <w:jc w:val="both"/>
      </w:pPr>
      <w:r>
        <w:t>Health and Safety regulations.</w:t>
      </w:r>
    </w:p>
    <w:p w14:paraId="478F3505" w14:textId="77777777" w:rsidR="00E00DFA" w:rsidRDefault="003A18C1">
      <w:pPr>
        <w:numPr>
          <w:ilvl w:val="0"/>
          <w:numId w:val="6"/>
        </w:numPr>
        <w:ind w:left="283" w:hanging="708"/>
        <w:jc w:val="both"/>
      </w:pPr>
      <w:r>
        <w:t>The inappropriate use of facilities (vehicles, property, email and communication equipment).</w:t>
      </w:r>
    </w:p>
    <w:p w14:paraId="5BF1EC1D" w14:textId="77777777" w:rsidR="00E00DFA" w:rsidRDefault="003A18C1">
      <w:pPr>
        <w:numPr>
          <w:ilvl w:val="0"/>
          <w:numId w:val="6"/>
        </w:numPr>
        <w:ind w:left="-425" w:firstLine="0"/>
        <w:jc w:val="both"/>
      </w:pPr>
      <w:r>
        <w:t>Claiming expenses.</w:t>
      </w:r>
    </w:p>
    <w:p w14:paraId="6AFBF291" w14:textId="77777777" w:rsidR="00E00DFA" w:rsidRDefault="003A18C1">
      <w:pPr>
        <w:numPr>
          <w:ilvl w:val="0"/>
          <w:numId w:val="6"/>
        </w:numPr>
        <w:spacing w:after="240"/>
        <w:ind w:left="-425" w:firstLine="0"/>
        <w:jc w:val="both"/>
      </w:pPr>
      <w:r>
        <w:t>Personal appearance.</w:t>
      </w:r>
    </w:p>
    <w:p w14:paraId="5E95A34E" w14:textId="77777777" w:rsidR="00E00DFA" w:rsidRDefault="00E00DFA">
      <w:pPr>
        <w:ind w:left="-425" w:right="-324"/>
        <w:jc w:val="both"/>
      </w:pPr>
    </w:p>
    <w:p w14:paraId="2DA6C047" w14:textId="77777777" w:rsidR="00E00DFA" w:rsidRDefault="003A18C1">
      <w:pPr>
        <w:numPr>
          <w:ilvl w:val="0"/>
          <w:numId w:val="4"/>
        </w:numPr>
        <w:ind w:right="-324"/>
        <w:jc w:val="both"/>
        <w:rPr>
          <w:b/>
          <w:color w:val="1C4587"/>
          <w:sz w:val="24"/>
          <w:szCs w:val="24"/>
        </w:rPr>
      </w:pPr>
      <w:r>
        <w:rPr>
          <w:b/>
          <w:color w:val="1C4587"/>
          <w:sz w:val="24"/>
          <w:szCs w:val="24"/>
        </w:rPr>
        <w:t>Principles</w:t>
      </w:r>
    </w:p>
    <w:p w14:paraId="712B2E92" w14:textId="77777777" w:rsidR="00E00DFA" w:rsidRDefault="003A18C1">
      <w:pPr>
        <w:ind w:left="-425"/>
        <w:jc w:val="both"/>
      </w:pPr>
      <w:r>
        <w:t>The principles governing this policy and its application are:</w:t>
      </w:r>
    </w:p>
    <w:p w14:paraId="20A67B85" w14:textId="77777777" w:rsidR="00E00DFA" w:rsidRDefault="003A18C1">
      <w:pPr>
        <w:numPr>
          <w:ilvl w:val="0"/>
          <w:numId w:val="10"/>
        </w:numPr>
        <w:spacing w:before="240"/>
        <w:ind w:left="-425" w:firstLine="0"/>
        <w:jc w:val="both"/>
      </w:pPr>
      <w:r>
        <w:t xml:space="preserve">Consistency and fairness, with everyone treated with respect and dignity. </w:t>
      </w:r>
    </w:p>
    <w:p w14:paraId="2DDD671F" w14:textId="77777777" w:rsidR="00E00DFA" w:rsidRDefault="003A18C1">
      <w:pPr>
        <w:numPr>
          <w:ilvl w:val="0"/>
          <w:numId w:val="10"/>
        </w:numPr>
        <w:ind w:left="-425" w:firstLine="0"/>
        <w:jc w:val="both"/>
      </w:pPr>
      <w:r>
        <w:t>Individuals’ rights and responsibilities being respected.</w:t>
      </w:r>
    </w:p>
    <w:p w14:paraId="21C9E6E2" w14:textId="77777777" w:rsidR="00E00DFA" w:rsidRDefault="003A18C1">
      <w:pPr>
        <w:numPr>
          <w:ilvl w:val="0"/>
          <w:numId w:val="10"/>
        </w:numPr>
        <w:ind w:left="-425" w:firstLine="0"/>
        <w:jc w:val="both"/>
      </w:pPr>
      <w:r>
        <w:t>Openness and transparency.</w:t>
      </w:r>
    </w:p>
    <w:p w14:paraId="59AB1EAD" w14:textId="77777777" w:rsidR="00E00DFA" w:rsidRDefault="003A18C1">
      <w:pPr>
        <w:numPr>
          <w:ilvl w:val="0"/>
          <w:numId w:val="10"/>
        </w:numPr>
        <w:ind w:left="283" w:hanging="708"/>
        <w:jc w:val="both"/>
      </w:pPr>
      <w:r>
        <w:t xml:space="preserve">Minor instances of misconduct initially addressed by means of informal counselling, guidance and instruction. </w:t>
      </w:r>
    </w:p>
    <w:p w14:paraId="14C4C3FE" w14:textId="77777777" w:rsidR="00E00DFA" w:rsidRDefault="003A18C1">
      <w:pPr>
        <w:numPr>
          <w:ilvl w:val="0"/>
          <w:numId w:val="10"/>
        </w:numPr>
        <w:spacing w:after="240"/>
        <w:ind w:left="283" w:hanging="708"/>
        <w:jc w:val="both"/>
      </w:pPr>
      <w:r>
        <w:t>Serious misconduct or a continuation of minor problems that the BHA regards sufficiently serious, will activate this disciplinary procedure.</w:t>
      </w:r>
    </w:p>
    <w:p w14:paraId="5B9FA563" w14:textId="77777777" w:rsidR="00E00DFA" w:rsidRDefault="003A18C1">
      <w:pPr>
        <w:jc w:val="both"/>
      </w:pPr>
      <w:r>
        <w:t xml:space="preserve"> </w:t>
      </w:r>
    </w:p>
    <w:p w14:paraId="1698B70F" w14:textId="77777777" w:rsidR="00E00DFA" w:rsidRDefault="003A18C1">
      <w:pPr>
        <w:numPr>
          <w:ilvl w:val="0"/>
          <w:numId w:val="4"/>
        </w:numPr>
        <w:ind w:right="-324"/>
        <w:jc w:val="both"/>
        <w:rPr>
          <w:b/>
          <w:color w:val="1C4587"/>
          <w:sz w:val="24"/>
          <w:szCs w:val="24"/>
        </w:rPr>
      </w:pPr>
      <w:r>
        <w:rPr>
          <w:b/>
          <w:color w:val="1C4587"/>
          <w:sz w:val="24"/>
          <w:szCs w:val="24"/>
        </w:rPr>
        <w:t>Investigation</w:t>
      </w:r>
    </w:p>
    <w:p w14:paraId="7BB38A18" w14:textId="77777777" w:rsidR="00E00DFA" w:rsidRDefault="003A18C1">
      <w:pPr>
        <w:spacing w:after="120"/>
        <w:ind w:left="-425"/>
        <w:jc w:val="both"/>
      </w:pPr>
      <w:r>
        <w:t xml:space="preserve">Prior to any disciplinary action, an investigation will be conducted into the circumstances of the alleged offence or problem. </w:t>
      </w:r>
    </w:p>
    <w:p w14:paraId="31C5BE25" w14:textId="77777777" w:rsidR="00E00DFA" w:rsidRDefault="003A18C1">
      <w:pPr>
        <w:ind w:left="-425"/>
        <w:jc w:val="both"/>
      </w:pPr>
      <w:r>
        <w:t>In order to ensure that matters are dealt with fairly the following shall apply:</w:t>
      </w:r>
    </w:p>
    <w:p w14:paraId="0A1C5C00" w14:textId="77777777" w:rsidR="00E00DFA" w:rsidRDefault="003A18C1">
      <w:pPr>
        <w:numPr>
          <w:ilvl w:val="0"/>
          <w:numId w:val="9"/>
        </w:numPr>
        <w:spacing w:before="240"/>
        <w:ind w:left="283" w:hanging="708"/>
        <w:jc w:val="both"/>
      </w:pPr>
      <w:r>
        <w:t>Those involved should raise and deal with issues promptly and should not unreasonably delay meetings, decisions or confirmation of those decisions.</w:t>
      </w:r>
    </w:p>
    <w:p w14:paraId="7D021535" w14:textId="77777777" w:rsidR="00E00DFA" w:rsidRDefault="003A18C1">
      <w:pPr>
        <w:numPr>
          <w:ilvl w:val="0"/>
          <w:numId w:val="9"/>
        </w:numPr>
        <w:ind w:left="283" w:hanging="708"/>
        <w:jc w:val="both"/>
      </w:pPr>
      <w:r>
        <w:lastRenderedPageBreak/>
        <w:t>The BHA should ensure that any necessary investigations are conducted, to establish the facts of the case.</w:t>
      </w:r>
    </w:p>
    <w:p w14:paraId="53F48EB5" w14:textId="77777777" w:rsidR="00E00DFA" w:rsidRDefault="003A18C1">
      <w:pPr>
        <w:numPr>
          <w:ilvl w:val="0"/>
          <w:numId w:val="9"/>
        </w:numPr>
        <w:ind w:left="283" w:hanging="708"/>
        <w:jc w:val="both"/>
      </w:pPr>
      <w:r>
        <w:t>The BHA should inform the implicated person of the basis of the problem and give them an opportunity to put their case in response before any decisions are made.</w:t>
      </w:r>
    </w:p>
    <w:p w14:paraId="6813AAB7" w14:textId="77777777" w:rsidR="00E00DFA" w:rsidRDefault="003A18C1">
      <w:pPr>
        <w:numPr>
          <w:ilvl w:val="0"/>
          <w:numId w:val="9"/>
        </w:numPr>
        <w:ind w:left="283" w:hanging="708"/>
        <w:jc w:val="both"/>
      </w:pPr>
      <w:r>
        <w:t>The BHA would allow the implicated person to be accompanied at any disciplinary meeting.</w:t>
      </w:r>
    </w:p>
    <w:p w14:paraId="55891D13" w14:textId="77777777" w:rsidR="00E00DFA" w:rsidRDefault="003A18C1">
      <w:pPr>
        <w:numPr>
          <w:ilvl w:val="0"/>
          <w:numId w:val="9"/>
        </w:numPr>
        <w:spacing w:after="240"/>
        <w:ind w:left="283" w:hanging="708"/>
        <w:jc w:val="both"/>
      </w:pPr>
      <w:r>
        <w:t xml:space="preserve">The implicated person has a right to appeal any action taken against them under this procedure. </w:t>
      </w:r>
    </w:p>
    <w:p w14:paraId="082D3FA4" w14:textId="77777777" w:rsidR="00E00DFA" w:rsidRDefault="00E00DFA">
      <w:pPr>
        <w:jc w:val="both"/>
      </w:pPr>
    </w:p>
    <w:p w14:paraId="4AEF32F8" w14:textId="77777777" w:rsidR="00E00DFA" w:rsidRDefault="003A18C1">
      <w:pPr>
        <w:numPr>
          <w:ilvl w:val="0"/>
          <w:numId w:val="4"/>
        </w:numPr>
        <w:ind w:right="-324"/>
        <w:jc w:val="both"/>
        <w:rPr>
          <w:b/>
          <w:color w:val="1C4587"/>
          <w:sz w:val="24"/>
          <w:szCs w:val="24"/>
        </w:rPr>
      </w:pPr>
      <w:r>
        <w:rPr>
          <w:b/>
          <w:color w:val="1C4587"/>
          <w:sz w:val="24"/>
          <w:szCs w:val="24"/>
        </w:rPr>
        <w:t>Informal Resolution</w:t>
      </w:r>
    </w:p>
    <w:p w14:paraId="55833D5E" w14:textId="77777777" w:rsidR="00E00DFA" w:rsidRDefault="003A18C1">
      <w:pPr>
        <w:ind w:left="-425"/>
        <w:jc w:val="both"/>
      </w:pPr>
      <w:r>
        <w:t>Where conduct and behaviour fall short of the standards expected by the BHA, the board/manager/coaches should conduct an interview with the implicated person, find out if there are any problems, reiterate the required standards/improvements with timescales (usually immediate and sustained) and provide any help and support that may be needed.  This will take the form of informal counselling, guidance and instruction and is NOT part of the formal procedure.</w:t>
      </w:r>
    </w:p>
    <w:p w14:paraId="26D620DB" w14:textId="77777777" w:rsidR="00E00DFA" w:rsidRDefault="00E00DFA">
      <w:pPr>
        <w:ind w:left="-425"/>
        <w:jc w:val="both"/>
      </w:pPr>
    </w:p>
    <w:p w14:paraId="7FB74600" w14:textId="64706010" w:rsidR="00E00DFA" w:rsidRDefault="003A18C1">
      <w:pPr>
        <w:ind w:left="-425"/>
        <w:jc w:val="both"/>
      </w:pPr>
      <w:r>
        <w:t xml:space="preserve">Notes should be taken of any such discussions. These will be retained for 12 months. </w:t>
      </w:r>
      <w:r w:rsidR="00046E96">
        <w:t>It the concern is a safeguarding one, then records will be kept for longer (10 years) as advised by the NSPCC (</w:t>
      </w:r>
      <w:r w:rsidR="00046E96" w:rsidRPr="00046E96">
        <w:t>https://learning.nspcc.org.uk/media/3324/child-protection-records-retention-and-storage-guidelines_june_2023.pdf</w:t>
      </w:r>
      <w:r w:rsidR="00046E96">
        <w:t>)</w:t>
      </w:r>
    </w:p>
    <w:p w14:paraId="3505630A" w14:textId="77777777" w:rsidR="00E00DFA" w:rsidRDefault="00E00DFA">
      <w:pPr>
        <w:ind w:left="-425"/>
        <w:jc w:val="both"/>
      </w:pPr>
    </w:p>
    <w:p w14:paraId="2AB545FC" w14:textId="77777777" w:rsidR="00E00DFA" w:rsidRDefault="003A18C1">
      <w:pPr>
        <w:ind w:left="-425"/>
        <w:jc w:val="both"/>
      </w:pPr>
      <w:r>
        <w:t>In some cases, the problem may be more serious at the outset, or the counselling, guidance and instruction has not worked.  If this is the case, the formal disciplinary procedure may apply.</w:t>
      </w:r>
    </w:p>
    <w:p w14:paraId="074A95BD" w14:textId="77777777" w:rsidR="00E00DFA" w:rsidRDefault="00E00DFA">
      <w:pPr>
        <w:spacing w:after="120"/>
        <w:ind w:left="-425"/>
        <w:jc w:val="both"/>
      </w:pPr>
    </w:p>
    <w:p w14:paraId="535F282F" w14:textId="77777777" w:rsidR="00E00DFA" w:rsidRDefault="003A18C1">
      <w:pPr>
        <w:numPr>
          <w:ilvl w:val="0"/>
          <w:numId w:val="4"/>
        </w:numPr>
        <w:ind w:right="-324"/>
        <w:jc w:val="both"/>
        <w:rPr>
          <w:b/>
          <w:color w:val="1C4587"/>
          <w:sz w:val="24"/>
          <w:szCs w:val="24"/>
        </w:rPr>
      </w:pPr>
      <w:r>
        <w:rPr>
          <w:b/>
          <w:color w:val="1C4587"/>
          <w:sz w:val="24"/>
          <w:szCs w:val="24"/>
        </w:rPr>
        <w:t>Disciplinary Process</w:t>
      </w:r>
    </w:p>
    <w:p w14:paraId="04957994" w14:textId="77777777" w:rsidR="00E00DFA" w:rsidRDefault="00E00DFA">
      <w:pPr>
        <w:ind w:left="-425"/>
        <w:jc w:val="both"/>
        <w:rPr>
          <w:b/>
        </w:rPr>
      </w:pPr>
    </w:p>
    <w:p w14:paraId="7565E8D2" w14:textId="77777777" w:rsidR="00E00DFA" w:rsidRDefault="003A18C1">
      <w:pPr>
        <w:ind w:left="-425"/>
        <w:jc w:val="both"/>
        <w:rPr>
          <w:b/>
        </w:rPr>
      </w:pPr>
      <w:r>
        <w:rPr>
          <w:b/>
        </w:rPr>
        <w:t>7.1 Establishing the facts of each case</w:t>
      </w:r>
    </w:p>
    <w:p w14:paraId="61A1BA1F" w14:textId="77777777" w:rsidR="00E00DFA" w:rsidRDefault="003A18C1">
      <w:pPr>
        <w:ind w:left="-425"/>
        <w:jc w:val="both"/>
      </w:pPr>
      <w:r>
        <w:t xml:space="preserve">It is important to carry out an investigation without unreasonable delay to establish a fair and balanced view of the allegations against the implicated person, before deciding whether to proceed with a disciplinary hearing.  Different people </w:t>
      </w:r>
      <w:r>
        <w:rPr>
          <w:b/>
        </w:rPr>
        <w:t>MUST</w:t>
      </w:r>
      <w:r>
        <w:t xml:space="preserve"> carry out the investigation and disciplinary hearing, and it should not be carried out by an individual who is line-managed by the person conducting the disciplinary hearing.</w:t>
      </w:r>
    </w:p>
    <w:p w14:paraId="146E1E97" w14:textId="77777777" w:rsidR="00E00DFA" w:rsidRDefault="00E00DFA">
      <w:pPr>
        <w:ind w:left="-425"/>
        <w:jc w:val="both"/>
      </w:pPr>
    </w:p>
    <w:p w14:paraId="5F984CD6" w14:textId="77777777" w:rsidR="00E00DFA" w:rsidRDefault="003A18C1">
      <w:pPr>
        <w:ind w:left="-425"/>
        <w:jc w:val="both"/>
      </w:pPr>
      <w:r>
        <w:t>Where the investigation reveals allegations of criminal conduct, the investigation will be handed over to the police and will be stayed until the conclusion of any resulting criminal proceedings.</w:t>
      </w:r>
    </w:p>
    <w:p w14:paraId="70C8A09B" w14:textId="77777777" w:rsidR="00E00DFA" w:rsidRDefault="00E00DFA">
      <w:pPr>
        <w:ind w:left="-425"/>
        <w:jc w:val="both"/>
      </w:pPr>
    </w:p>
    <w:p w14:paraId="5BC6459B" w14:textId="77777777" w:rsidR="00E00DFA" w:rsidRDefault="003A18C1">
      <w:pPr>
        <w:ind w:left="-425"/>
        <w:jc w:val="both"/>
        <w:rPr>
          <w:b/>
        </w:rPr>
      </w:pPr>
      <w:r>
        <w:rPr>
          <w:b/>
        </w:rPr>
        <w:t>7.2 Informing the implicated person of the problem</w:t>
      </w:r>
    </w:p>
    <w:p w14:paraId="60692958" w14:textId="77777777" w:rsidR="00E00DFA" w:rsidRDefault="003A18C1">
      <w:pPr>
        <w:ind w:left="-425"/>
        <w:jc w:val="both"/>
      </w:pPr>
      <w:r>
        <w:t>If, at the end of the investigation, it is decided there is a disciplinary case to answer, the implicated person should be notified of this in writing.  All the information about the alleged misconduct and its possible consequences should be provided, to allow them to answer the case at a disciplinary hearing: this includes providing them with copies of any written evidence, such as witness statements.  The implicated person must be informed of the possible outcomes of the hearing.</w:t>
      </w:r>
    </w:p>
    <w:p w14:paraId="3D63ED3C" w14:textId="77777777" w:rsidR="00E00DFA" w:rsidRDefault="00E00DFA">
      <w:pPr>
        <w:ind w:left="-425"/>
        <w:jc w:val="both"/>
      </w:pPr>
    </w:p>
    <w:p w14:paraId="3D90EF96" w14:textId="3E7ABC8A" w:rsidR="00E00DFA" w:rsidRDefault="003A18C1">
      <w:pPr>
        <w:ind w:left="-425"/>
        <w:jc w:val="both"/>
      </w:pPr>
      <w:r>
        <w:t xml:space="preserve">The implicated person must be given the details of the time and venue for the hearing and be advised of the right to be accompanied.  The BHA will seek to ensure that the time, place and </w:t>
      </w:r>
      <w:r>
        <w:lastRenderedPageBreak/>
        <w:t>location of any disciplinary hearing are reasonable: it will take place as soon as is reasonably practicable.  The BHA will involve an independent throughout this disciplinary process.</w:t>
      </w:r>
    </w:p>
    <w:p w14:paraId="059FDB2B" w14:textId="77777777" w:rsidR="00451CCA" w:rsidRDefault="00451CCA">
      <w:pPr>
        <w:ind w:left="-425"/>
        <w:jc w:val="both"/>
      </w:pPr>
    </w:p>
    <w:p w14:paraId="7C4430B2" w14:textId="77777777" w:rsidR="00E00DFA" w:rsidRDefault="003A18C1">
      <w:pPr>
        <w:ind w:left="-425"/>
        <w:jc w:val="both"/>
        <w:rPr>
          <w:b/>
        </w:rPr>
      </w:pPr>
      <w:r>
        <w:rPr>
          <w:b/>
        </w:rPr>
        <w:t>7.3 Holding a Disciplinary Hearing</w:t>
      </w:r>
    </w:p>
    <w:p w14:paraId="5F0D0962" w14:textId="77777777" w:rsidR="00E00DFA" w:rsidRDefault="003A18C1">
      <w:pPr>
        <w:ind w:left="-425"/>
        <w:jc w:val="both"/>
      </w:pPr>
      <w:r>
        <w:t>The BHA should hold the hearing without unreasonable delay whilst allowing the implicated person reasonable time to prepare their case.  (What is judged to be reasonable will depend on the complexity of the case but will not be less than 7 days from the date the letter is sent).  The implicated person and their companion must take all reasonable steps to attend.  Where they persistently fail to attend a disciplinary hearing without good cause, the BHA may make a decision in the Athlete’s absence on the basis of the evidence available.</w:t>
      </w:r>
    </w:p>
    <w:p w14:paraId="122DE406" w14:textId="77777777" w:rsidR="00E00DFA" w:rsidRDefault="00E00DFA">
      <w:pPr>
        <w:ind w:left="-425"/>
        <w:jc w:val="both"/>
      </w:pPr>
    </w:p>
    <w:p w14:paraId="0591717B" w14:textId="77777777" w:rsidR="00E00DFA" w:rsidRDefault="003A18C1">
      <w:pPr>
        <w:ind w:left="-425"/>
        <w:jc w:val="both"/>
      </w:pPr>
      <w:r>
        <w:t xml:space="preserve">At the hearing, the BHA will explain the role of all those attending and the allegation(s) against the implicated </w:t>
      </w:r>
      <w:proofErr w:type="gramStart"/>
      <w:r>
        <w:t>person, and</w:t>
      </w:r>
      <w:proofErr w:type="gramEnd"/>
      <w:r>
        <w:t xml:space="preserve"> will then go through the evidence that has been gathered.  The implicated person will be allowed to set out their case and answer any allegations that have been made.  They will also be given a reasonable opportunity to:</w:t>
      </w:r>
    </w:p>
    <w:p w14:paraId="37BB311C" w14:textId="77777777" w:rsidR="00E00DFA" w:rsidRDefault="003A18C1">
      <w:pPr>
        <w:numPr>
          <w:ilvl w:val="0"/>
          <w:numId w:val="11"/>
        </w:numPr>
        <w:spacing w:before="240"/>
        <w:ind w:left="-425" w:firstLine="0"/>
        <w:jc w:val="both"/>
      </w:pPr>
      <w:r>
        <w:t xml:space="preserve">ask </w:t>
      </w:r>
      <w:proofErr w:type="gramStart"/>
      <w:r>
        <w:t>questions;</w:t>
      </w:r>
      <w:proofErr w:type="gramEnd"/>
    </w:p>
    <w:p w14:paraId="2357C635" w14:textId="77777777" w:rsidR="00E00DFA" w:rsidRDefault="003A18C1">
      <w:pPr>
        <w:numPr>
          <w:ilvl w:val="0"/>
          <w:numId w:val="11"/>
        </w:numPr>
        <w:ind w:left="-425" w:firstLine="0"/>
        <w:jc w:val="both"/>
      </w:pPr>
      <w:r>
        <w:t xml:space="preserve">present </w:t>
      </w:r>
      <w:proofErr w:type="gramStart"/>
      <w:r>
        <w:t>evidence;</w:t>
      </w:r>
      <w:proofErr w:type="gramEnd"/>
      <w:r>
        <w:t xml:space="preserve"> </w:t>
      </w:r>
    </w:p>
    <w:p w14:paraId="795B9A38" w14:textId="77777777" w:rsidR="00E00DFA" w:rsidRDefault="003A18C1">
      <w:pPr>
        <w:numPr>
          <w:ilvl w:val="0"/>
          <w:numId w:val="11"/>
        </w:numPr>
        <w:ind w:left="-425" w:firstLine="0"/>
        <w:jc w:val="both"/>
      </w:pPr>
      <w:r>
        <w:t xml:space="preserve">call relevant witnesses; and </w:t>
      </w:r>
    </w:p>
    <w:p w14:paraId="4A3854AC" w14:textId="77777777" w:rsidR="00E00DFA" w:rsidRDefault="003A18C1">
      <w:pPr>
        <w:numPr>
          <w:ilvl w:val="0"/>
          <w:numId w:val="11"/>
        </w:numPr>
        <w:spacing w:after="240"/>
        <w:ind w:left="-425" w:firstLine="0"/>
        <w:jc w:val="both"/>
      </w:pPr>
      <w:r>
        <w:t>raise points about any information provided by witnesses.</w:t>
      </w:r>
    </w:p>
    <w:p w14:paraId="6E152DE9" w14:textId="77777777" w:rsidR="00E00DFA" w:rsidRDefault="003A18C1">
      <w:pPr>
        <w:ind w:left="-425"/>
        <w:jc w:val="both"/>
      </w:pPr>
      <w:r>
        <w:t xml:space="preserve">Where those conducting the </w:t>
      </w:r>
      <w:proofErr w:type="gramStart"/>
      <w:r>
        <w:t>hearing</w:t>
      </w:r>
      <w:proofErr w:type="gramEnd"/>
      <w:r>
        <w:t xml:space="preserve"> or the implicated person intend to call relevant witnesses they should give advance written notice that they intend to do this.  Any written statements of case, witness statements or other documentary evidence should be exchanged at least 10 days in advance of the hearing. </w:t>
      </w:r>
    </w:p>
    <w:p w14:paraId="3D8F4545" w14:textId="77777777" w:rsidR="00E00DFA" w:rsidRDefault="00E00DFA">
      <w:pPr>
        <w:ind w:left="-425"/>
        <w:jc w:val="both"/>
      </w:pPr>
    </w:p>
    <w:p w14:paraId="3C614B32" w14:textId="77777777" w:rsidR="00E00DFA" w:rsidRDefault="003A18C1">
      <w:pPr>
        <w:ind w:left="-425"/>
        <w:jc w:val="both"/>
      </w:pPr>
      <w:r>
        <w:t xml:space="preserve">The main points of the discussion will be </w:t>
      </w:r>
      <w:proofErr w:type="gramStart"/>
      <w:r>
        <w:t>summarised</w:t>
      </w:r>
      <w:proofErr w:type="gramEnd"/>
      <w:r>
        <w:t xml:space="preserve"> and all parties are asked for anything further to say.</w:t>
      </w:r>
    </w:p>
    <w:p w14:paraId="7B8EA2EA" w14:textId="77777777" w:rsidR="00E00DFA" w:rsidRDefault="00E00DFA">
      <w:pPr>
        <w:ind w:left="-425"/>
        <w:jc w:val="both"/>
      </w:pPr>
    </w:p>
    <w:p w14:paraId="2A0CDE79" w14:textId="77777777" w:rsidR="00E00DFA" w:rsidRDefault="003A18C1">
      <w:pPr>
        <w:ind w:left="-425"/>
        <w:jc w:val="both"/>
        <w:rPr>
          <w:b/>
        </w:rPr>
      </w:pPr>
      <w:r>
        <w:rPr>
          <w:b/>
        </w:rPr>
        <w:t>7.4 Implicated person’s companion</w:t>
      </w:r>
    </w:p>
    <w:p w14:paraId="4ABF9E59" w14:textId="77777777" w:rsidR="00E00DFA" w:rsidRDefault="003A18C1">
      <w:pPr>
        <w:ind w:left="-425"/>
        <w:jc w:val="both"/>
      </w:pPr>
      <w:r>
        <w:t xml:space="preserve">The implicated person may be accompanied by a companion at any formal disciplinary, investigative or appeal hearing or meeting.  If the chosen companion cannot attend the original date, an alternative date will be offered within the following 5 working days. </w:t>
      </w:r>
    </w:p>
    <w:p w14:paraId="342AA6BB" w14:textId="77777777" w:rsidR="00E00DFA" w:rsidRDefault="00E00DFA">
      <w:pPr>
        <w:ind w:left="-425"/>
        <w:jc w:val="both"/>
      </w:pPr>
    </w:p>
    <w:p w14:paraId="634B2B13" w14:textId="77777777" w:rsidR="00E00DFA" w:rsidRDefault="003A18C1">
      <w:pPr>
        <w:ind w:left="-425"/>
        <w:jc w:val="both"/>
      </w:pPr>
      <w:r>
        <w:t xml:space="preserve">The companion may address the hearing to present and/or sum up the implicated person’s case, respond on their behalf to any views expressed at the hearing and confer privately with them at any stage during the hearing.  The companion does not have the right to answer questions on the implicated person’s </w:t>
      </w:r>
      <w:proofErr w:type="gramStart"/>
      <w:r>
        <w:t>behalf, or</w:t>
      </w:r>
      <w:proofErr w:type="gramEnd"/>
      <w:r>
        <w:t xml:space="preserve"> prevent anyone from explaining their case. </w:t>
      </w:r>
    </w:p>
    <w:p w14:paraId="55C05B42" w14:textId="77777777" w:rsidR="00E00DFA" w:rsidRDefault="00E00DFA">
      <w:pPr>
        <w:ind w:left="-425"/>
        <w:jc w:val="both"/>
      </w:pPr>
    </w:p>
    <w:p w14:paraId="4F79C745" w14:textId="77777777" w:rsidR="00E00DFA" w:rsidRDefault="003A18C1">
      <w:pPr>
        <w:ind w:left="-425"/>
        <w:jc w:val="both"/>
      </w:pPr>
      <w:r>
        <w:t>Any companion who attends a hearing in connection with this disciplinary policy shall not be penalised in any way.  No one shall be obliged to act as a companion if they do not wish to do so.</w:t>
      </w:r>
    </w:p>
    <w:p w14:paraId="0DDE892C" w14:textId="77777777" w:rsidR="00E00DFA" w:rsidRDefault="00E00DFA">
      <w:pPr>
        <w:ind w:left="-425"/>
        <w:jc w:val="both"/>
      </w:pPr>
    </w:p>
    <w:p w14:paraId="2D410E10" w14:textId="77777777" w:rsidR="00E00DFA" w:rsidRDefault="003A18C1">
      <w:pPr>
        <w:ind w:left="-425"/>
        <w:jc w:val="both"/>
        <w:rPr>
          <w:b/>
        </w:rPr>
      </w:pPr>
      <w:r>
        <w:rPr>
          <w:b/>
        </w:rPr>
        <w:t>7.5 Decide on the appropriate action</w:t>
      </w:r>
    </w:p>
    <w:p w14:paraId="33C554AE" w14:textId="455863B9" w:rsidR="00E00DFA" w:rsidRDefault="003A18C1">
      <w:pPr>
        <w:ind w:left="-425"/>
        <w:jc w:val="both"/>
      </w:pPr>
      <w:r>
        <w:t xml:space="preserve">Those conducting the disciplinary hearing must decide whether or not disciplinary action (or any other action) is justified and </w:t>
      </w:r>
      <w:proofErr w:type="gramStart"/>
      <w:r>
        <w:t>proportionate, and</w:t>
      </w:r>
      <w:proofErr w:type="gramEnd"/>
      <w:r>
        <w:t xml:space="preserve"> inform the implicated person accordingly in writing giving the reasons for the imposition of any sanction, including any mitigating and/or aggravating </w:t>
      </w:r>
      <w:r>
        <w:lastRenderedPageBreak/>
        <w:t xml:space="preserve">factors. </w:t>
      </w:r>
      <w:r w:rsidR="00451CCA">
        <w:t xml:space="preserve">This will be dependent on the burden of proof and balance of probability.  </w:t>
      </w:r>
      <w:r>
        <w:t>Save for cases in which the implicated person persistently fails to attend a disciplinary hearing without good cause, no disciplinary action should be imposed without a hearing.</w:t>
      </w:r>
    </w:p>
    <w:p w14:paraId="344E5B06" w14:textId="77777777" w:rsidR="00E00DFA" w:rsidRDefault="003A18C1">
      <w:pPr>
        <w:ind w:left="-425"/>
        <w:jc w:val="both"/>
      </w:pPr>
      <w:r>
        <w:t>Where misconduct is confirmed, the possible outcomes include (dependent on the level of misconduct):</w:t>
      </w:r>
    </w:p>
    <w:p w14:paraId="3D06B76B" w14:textId="77777777" w:rsidR="00E00DFA" w:rsidRDefault="00E00DFA">
      <w:pPr>
        <w:spacing w:after="120"/>
        <w:jc w:val="both"/>
        <w:rPr>
          <w:rFonts w:ascii="Trebuchet MS" w:eastAsia="Trebuchet MS" w:hAnsi="Trebuchet MS" w:cs="Trebuchet MS"/>
          <w:sz w:val="17"/>
          <w:szCs w:val="17"/>
        </w:rPr>
      </w:pPr>
    </w:p>
    <w:p w14:paraId="45B74D3A" w14:textId="77777777" w:rsidR="00E00DFA" w:rsidRDefault="003A18C1">
      <w:pPr>
        <w:numPr>
          <w:ilvl w:val="0"/>
          <w:numId w:val="1"/>
        </w:numPr>
        <w:ind w:left="283" w:hanging="708"/>
        <w:jc w:val="both"/>
      </w:pPr>
      <w:r>
        <w:t xml:space="preserve">A verbal warning, which will be recorded within the personnel file for a period of six months and confirmed in writing. </w:t>
      </w:r>
    </w:p>
    <w:p w14:paraId="241A7D3E" w14:textId="77777777" w:rsidR="00E00DFA" w:rsidRDefault="003A18C1">
      <w:pPr>
        <w:numPr>
          <w:ilvl w:val="0"/>
          <w:numId w:val="1"/>
        </w:numPr>
        <w:ind w:left="283" w:hanging="708"/>
        <w:jc w:val="both"/>
      </w:pPr>
      <w:r>
        <w:t xml:space="preserve">A first written warning, which will be recorded within the personnel file for a period of twelve months and confirmed in writing. </w:t>
      </w:r>
    </w:p>
    <w:p w14:paraId="27437ED4" w14:textId="77777777" w:rsidR="00E00DFA" w:rsidRDefault="003A18C1">
      <w:pPr>
        <w:numPr>
          <w:ilvl w:val="0"/>
          <w:numId w:val="1"/>
        </w:numPr>
        <w:ind w:left="283" w:hanging="708"/>
        <w:jc w:val="both"/>
      </w:pPr>
      <w:r>
        <w:t xml:space="preserve">A final written warning, which will be recorded within the personnel file for a period of twelve months and confirmed in writing advising them that further breaches of rules could lead to dismissal. </w:t>
      </w:r>
    </w:p>
    <w:p w14:paraId="6365538B" w14:textId="77777777" w:rsidR="00E00DFA" w:rsidRDefault="003A18C1">
      <w:pPr>
        <w:numPr>
          <w:ilvl w:val="0"/>
          <w:numId w:val="1"/>
        </w:numPr>
        <w:spacing w:after="120"/>
        <w:ind w:left="283" w:hanging="708"/>
        <w:jc w:val="both"/>
      </w:pPr>
      <w:r>
        <w:t xml:space="preserve">Dismissal with or as in the case of gross misconduct without a period of notice. </w:t>
      </w:r>
    </w:p>
    <w:p w14:paraId="4142F51B" w14:textId="77777777" w:rsidR="00E00DFA" w:rsidRDefault="00E00DFA">
      <w:pPr>
        <w:spacing w:after="120"/>
        <w:jc w:val="both"/>
      </w:pPr>
    </w:p>
    <w:p w14:paraId="40C1DF15" w14:textId="77777777" w:rsidR="00E00DFA" w:rsidRDefault="003A18C1">
      <w:pPr>
        <w:ind w:left="-425"/>
        <w:jc w:val="both"/>
      </w:pPr>
      <w:r>
        <w:t>A Written Warning or Final Written Warning should set out:</w:t>
      </w:r>
    </w:p>
    <w:p w14:paraId="6897ED09" w14:textId="77777777" w:rsidR="00E00DFA" w:rsidRDefault="003A18C1">
      <w:pPr>
        <w:numPr>
          <w:ilvl w:val="0"/>
          <w:numId w:val="8"/>
        </w:numPr>
        <w:spacing w:before="240"/>
        <w:ind w:left="-425" w:firstLine="0"/>
        <w:jc w:val="both"/>
      </w:pPr>
      <w:r>
        <w:t>the nature of the misconduct and the change in behaviour required (with timescale</w:t>
      </w:r>
      <w:proofErr w:type="gramStart"/>
      <w:r>
        <w:t>);</w:t>
      </w:r>
      <w:proofErr w:type="gramEnd"/>
    </w:p>
    <w:p w14:paraId="276D6C41" w14:textId="77777777" w:rsidR="00E00DFA" w:rsidRDefault="003A18C1">
      <w:pPr>
        <w:numPr>
          <w:ilvl w:val="0"/>
          <w:numId w:val="8"/>
        </w:numPr>
        <w:ind w:left="-425" w:firstLine="0"/>
        <w:jc w:val="both"/>
      </w:pPr>
      <w:r>
        <w:t xml:space="preserve">how long the warning will remain current; and </w:t>
      </w:r>
    </w:p>
    <w:p w14:paraId="2BDEC85D" w14:textId="77777777" w:rsidR="00E00DFA" w:rsidRDefault="003A18C1">
      <w:pPr>
        <w:numPr>
          <w:ilvl w:val="0"/>
          <w:numId w:val="8"/>
        </w:numPr>
        <w:spacing w:after="240"/>
        <w:ind w:left="-425" w:firstLine="0"/>
        <w:jc w:val="both"/>
      </w:pPr>
      <w:r>
        <w:t xml:space="preserve">the consequences of further misconduct within the set period (that it may result in dismissal or some other penalty such as demotion or loss of seniority).  </w:t>
      </w:r>
    </w:p>
    <w:p w14:paraId="1CB96DF5" w14:textId="77777777" w:rsidR="00E00DFA" w:rsidRDefault="00E00DFA">
      <w:pPr>
        <w:ind w:left="-425"/>
        <w:jc w:val="both"/>
      </w:pPr>
    </w:p>
    <w:p w14:paraId="10BBFF23" w14:textId="77777777" w:rsidR="00E00DFA" w:rsidRDefault="003A18C1">
      <w:pPr>
        <w:ind w:left="-425"/>
        <w:jc w:val="both"/>
        <w:rPr>
          <w:b/>
        </w:rPr>
      </w:pPr>
      <w:r>
        <w:rPr>
          <w:b/>
        </w:rPr>
        <w:t>7.6 Provide the opportunity to appeal</w:t>
      </w:r>
    </w:p>
    <w:p w14:paraId="17379EDC" w14:textId="77777777" w:rsidR="00E00DFA" w:rsidRDefault="003A18C1">
      <w:pPr>
        <w:ind w:left="-425"/>
        <w:jc w:val="both"/>
      </w:pPr>
      <w:r>
        <w:t xml:space="preserve">Where the implicated person believes that the disciplinary action taken against them is wrong or unjust they may appeal the decision.  Appeals should be heard without unreasonable delay.  The implicated person should let the board know the grounds (reason) for the appeal in writing within 10 working days of receiving written confirmation of the disciplinary warning or dismissal.   </w:t>
      </w:r>
    </w:p>
    <w:p w14:paraId="4BD619CA" w14:textId="77777777" w:rsidR="00E00DFA" w:rsidRDefault="00E00DFA">
      <w:pPr>
        <w:ind w:left="-425"/>
        <w:jc w:val="both"/>
      </w:pPr>
    </w:p>
    <w:p w14:paraId="6FA8393D" w14:textId="77777777" w:rsidR="00E00DFA" w:rsidRDefault="003A18C1">
      <w:pPr>
        <w:ind w:left="-425"/>
        <w:jc w:val="both"/>
      </w:pPr>
      <w:r>
        <w:t>The grounds for an appeal could reasonably be one or more of the following:</w:t>
      </w:r>
    </w:p>
    <w:p w14:paraId="23A8D7B7" w14:textId="77777777" w:rsidR="00E00DFA" w:rsidRDefault="003A18C1">
      <w:pPr>
        <w:numPr>
          <w:ilvl w:val="0"/>
          <w:numId w:val="7"/>
        </w:numPr>
        <w:spacing w:before="240"/>
        <w:ind w:left="-425" w:firstLine="0"/>
        <w:jc w:val="both"/>
      </w:pPr>
      <w:r>
        <w:t xml:space="preserve">the correct process was not </w:t>
      </w:r>
      <w:proofErr w:type="gramStart"/>
      <w:r>
        <w:t>followed;</w:t>
      </w:r>
      <w:proofErr w:type="gramEnd"/>
    </w:p>
    <w:p w14:paraId="1F685961" w14:textId="77777777" w:rsidR="00E00DFA" w:rsidRDefault="003A18C1">
      <w:pPr>
        <w:numPr>
          <w:ilvl w:val="0"/>
          <w:numId w:val="7"/>
        </w:numPr>
        <w:ind w:left="-425" w:firstLine="0"/>
        <w:jc w:val="both"/>
      </w:pPr>
      <w:r>
        <w:t xml:space="preserve">the decision maker was </w:t>
      </w:r>
      <w:proofErr w:type="gramStart"/>
      <w:r>
        <w:t>biassed;</w:t>
      </w:r>
      <w:proofErr w:type="gramEnd"/>
    </w:p>
    <w:p w14:paraId="0139A62C" w14:textId="77777777" w:rsidR="00E00DFA" w:rsidRDefault="003A18C1">
      <w:pPr>
        <w:numPr>
          <w:ilvl w:val="0"/>
          <w:numId w:val="7"/>
        </w:numPr>
        <w:ind w:left="-425" w:firstLine="0"/>
        <w:jc w:val="both"/>
      </w:pPr>
      <w:r>
        <w:t>the decision was made without considering all the relevant facts; or</w:t>
      </w:r>
    </w:p>
    <w:p w14:paraId="1BA8A7D9" w14:textId="77777777" w:rsidR="00E00DFA" w:rsidRDefault="003A18C1">
      <w:pPr>
        <w:numPr>
          <w:ilvl w:val="0"/>
          <w:numId w:val="7"/>
        </w:numPr>
        <w:spacing w:after="240"/>
        <w:ind w:left="-425" w:firstLine="0"/>
        <w:jc w:val="both"/>
      </w:pPr>
      <w:r>
        <w:t>the decision was not one a reasonable person could have made.</w:t>
      </w:r>
    </w:p>
    <w:p w14:paraId="303BFCB6" w14:textId="77777777" w:rsidR="00E00DFA" w:rsidRDefault="003A18C1">
      <w:pPr>
        <w:ind w:left="-425"/>
        <w:jc w:val="both"/>
      </w:pPr>
      <w:r>
        <w:t>Where the appeal is against:</w:t>
      </w:r>
    </w:p>
    <w:p w14:paraId="085A9F09" w14:textId="77777777" w:rsidR="00E00DFA" w:rsidRDefault="003A18C1">
      <w:pPr>
        <w:numPr>
          <w:ilvl w:val="0"/>
          <w:numId w:val="3"/>
        </w:numPr>
        <w:spacing w:before="240"/>
        <w:ind w:left="-425" w:firstLine="0"/>
        <w:jc w:val="both"/>
      </w:pPr>
      <w:r>
        <w:rPr>
          <w:u w:val="single"/>
        </w:rPr>
        <w:t>a written warning</w:t>
      </w:r>
      <w:r>
        <w:t>, it should be heard by a member of the BHA board who has not previously been involved in the case; or</w:t>
      </w:r>
    </w:p>
    <w:p w14:paraId="1793CDFD" w14:textId="6F7389CF" w:rsidR="00E00DFA" w:rsidRDefault="003A18C1">
      <w:pPr>
        <w:numPr>
          <w:ilvl w:val="0"/>
          <w:numId w:val="12"/>
        </w:numPr>
        <w:spacing w:after="240"/>
        <w:ind w:left="-425" w:firstLine="0"/>
        <w:jc w:val="both"/>
      </w:pPr>
      <w:r>
        <w:rPr>
          <w:u w:val="single"/>
        </w:rPr>
        <w:t>dismissal</w:t>
      </w:r>
      <w:r>
        <w:t xml:space="preserve">, the BHA will refer the matter to an independent panel facilitated by Sport Resolutions UK/UK Sport/Sport Integrity. </w:t>
      </w:r>
      <w:r w:rsidR="00451CCA">
        <w:t>If this is a safeguarding issue it will refer to the Safeguarding Policy in which our duty is to share relevant information with the DBS and others in order for them to make an assessment on the persons suitability to work.</w:t>
      </w:r>
    </w:p>
    <w:p w14:paraId="1C52171A" w14:textId="77777777" w:rsidR="00E00DFA" w:rsidRDefault="003A18C1">
      <w:pPr>
        <w:ind w:left="-425"/>
        <w:jc w:val="both"/>
      </w:pPr>
      <w:r>
        <w:lastRenderedPageBreak/>
        <w:t>The implicated person has the right to be accompanied at appeal hearings and will be informed in writing of the results of the appeal hearing as soon as possible.</w:t>
      </w:r>
    </w:p>
    <w:p w14:paraId="144CF469" w14:textId="77777777" w:rsidR="00E00DFA" w:rsidRDefault="00E00DFA">
      <w:pPr>
        <w:ind w:left="-425"/>
        <w:jc w:val="both"/>
      </w:pPr>
    </w:p>
    <w:p w14:paraId="67492590" w14:textId="77777777" w:rsidR="00E00DFA" w:rsidRDefault="003A18C1">
      <w:pPr>
        <w:ind w:left="-425"/>
        <w:jc w:val="both"/>
      </w:pPr>
      <w:r>
        <w:t>An independent appeal is final and concludes the BHA’s procedure.</w:t>
      </w:r>
    </w:p>
    <w:p w14:paraId="7C32FD75" w14:textId="77777777" w:rsidR="00E00DFA" w:rsidRDefault="00E00DFA">
      <w:pPr>
        <w:ind w:left="-425" w:right="-324"/>
        <w:jc w:val="both"/>
      </w:pPr>
    </w:p>
    <w:sectPr w:rsidR="00E00DFA">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69A56" w14:textId="77777777" w:rsidR="009448D0" w:rsidRDefault="009448D0">
      <w:pPr>
        <w:spacing w:line="240" w:lineRule="auto"/>
      </w:pPr>
      <w:r>
        <w:separator/>
      </w:r>
    </w:p>
  </w:endnote>
  <w:endnote w:type="continuationSeparator" w:id="0">
    <w:p w14:paraId="0519534D" w14:textId="77777777" w:rsidR="009448D0" w:rsidRDefault="009448D0">
      <w:pPr>
        <w:spacing w:line="240" w:lineRule="auto"/>
      </w:pPr>
      <w:r>
        <w:continuationSeparator/>
      </w:r>
    </w:p>
  </w:endnote>
  <w:endnote w:type="continuationNotice" w:id="1">
    <w:p w14:paraId="2C5FBEBC" w14:textId="77777777" w:rsidR="009448D0" w:rsidRDefault="009448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A1E70" w14:textId="77777777" w:rsidR="00E00DFA" w:rsidRDefault="003A18C1">
    <w:pPr>
      <w:rPr>
        <w:sz w:val="18"/>
        <w:szCs w:val="18"/>
      </w:rPr>
    </w:pPr>
    <w:r>
      <w:rPr>
        <w:sz w:val="18"/>
        <w:szCs w:val="18"/>
      </w:rPr>
      <w:t>Updated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DAA58" w14:textId="77777777" w:rsidR="009448D0" w:rsidRDefault="009448D0">
      <w:pPr>
        <w:spacing w:line="240" w:lineRule="auto"/>
      </w:pPr>
      <w:r>
        <w:separator/>
      </w:r>
    </w:p>
  </w:footnote>
  <w:footnote w:type="continuationSeparator" w:id="0">
    <w:p w14:paraId="53853244" w14:textId="77777777" w:rsidR="009448D0" w:rsidRDefault="009448D0">
      <w:pPr>
        <w:spacing w:line="240" w:lineRule="auto"/>
      </w:pPr>
      <w:r>
        <w:continuationSeparator/>
      </w:r>
    </w:p>
  </w:footnote>
  <w:footnote w:type="continuationNotice" w:id="1">
    <w:p w14:paraId="165D9FF4" w14:textId="77777777" w:rsidR="009448D0" w:rsidRDefault="009448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634EC" w14:textId="77777777" w:rsidR="00E00DFA" w:rsidRDefault="003A18C1">
    <w:pPr>
      <w:jc w:val="right"/>
    </w:pPr>
    <w:r>
      <w:rPr>
        <w:noProof/>
      </w:rPr>
      <w:drawing>
        <wp:inline distT="114300" distB="114300" distL="114300" distR="114300" wp14:anchorId="13DE3922" wp14:editId="4F429056">
          <wp:extent cx="802013" cy="74353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2013" cy="7435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23690"/>
    <w:multiLevelType w:val="multilevel"/>
    <w:tmpl w:val="E5AC9B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33507E"/>
    <w:multiLevelType w:val="multilevel"/>
    <w:tmpl w:val="54466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2972BD"/>
    <w:multiLevelType w:val="multilevel"/>
    <w:tmpl w:val="20584F48"/>
    <w:lvl w:ilvl="0">
      <w:start w:val="1"/>
      <w:numFmt w:val="decimal"/>
      <w:lvlText w:val="%1."/>
      <w:lvlJc w:val="left"/>
      <w:pPr>
        <w:ind w:left="850"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2FD1C4B"/>
    <w:multiLevelType w:val="multilevel"/>
    <w:tmpl w:val="21762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A77411"/>
    <w:multiLevelType w:val="multilevel"/>
    <w:tmpl w:val="F01E6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E51117"/>
    <w:multiLevelType w:val="multilevel"/>
    <w:tmpl w:val="C240B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D339E0"/>
    <w:multiLevelType w:val="multilevel"/>
    <w:tmpl w:val="0F9C5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F375CB"/>
    <w:multiLevelType w:val="multilevel"/>
    <w:tmpl w:val="67FC9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795692"/>
    <w:multiLevelType w:val="multilevel"/>
    <w:tmpl w:val="CF885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7A43F48"/>
    <w:multiLevelType w:val="multilevel"/>
    <w:tmpl w:val="F96EA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4BA5290"/>
    <w:multiLevelType w:val="multilevel"/>
    <w:tmpl w:val="5936D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806DC3"/>
    <w:multiLevelType w:val="multilevel"/>
    <w:tmpl w:val="5F62B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0"/>
  </w:num>
  <w:num w:numId="3">
    <w:abstractNumId w:val="7"/>
  </w:num>
  <w:num w:numId="4">
    <w:abstractNumId w:val="2"/>
  </w:num>
  <w:num w:numId="5">
    <w:abstractNumId w:val="6"/>
  </w:num>
  <w:num w:numId="6">
    <w:abstractNumId w:val="0"/>
  </w:num>
  <w:num w:numId="7">
    <w:abstractNumId w:val="9"/>
  </w:num>
  <w:num w:numId="8">
    <w:abstractNumId w:val="3"/>
  </w:num>
  <w:num w:numId="9">
    <w:abstractNumId w:val="1"/>
  </w:num>
  <w:num w:numId="10">
    <w:abstractNumId w:val="4"/>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DFA"/>
    <w:rsid w:val="0004069F"/>
    <w:rsid w:val="00046E96"/>
    <w:rsid w:val="002700FA"/>
    <w:rsid w:val="003A18C1"/>
    <w:rsid w:val="00451CCA"/>
    <w:rsid w:val="005B6E67"/>
    <w:rsid w:val="00640E94"/>
    <w:rsid w:val="0081081D"/>
    <w:rsid w:val="008C09FD"/>
    <w:rsid w:val="008C70EB"/>
    <w:rsid w:val="009448D0"/>
    <w:rsid w:val="00A31557"/>
    <w:rsid w:val="00BE21FE"/>
    <w:rsid w:val="00DC3E5D"/>
    <w:rsid w:val="00E00DFA"/>
    <w:rsid w:val="00F64513"/>
    <w:rsid w:val="00FF0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D6B2"/>
  <w15:docId w15:val="{7BB4648D-3342-4DB3-98F6-A1E32C9B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A31557"/>
    <w:rPr>
      <w:sz w:val="16"/>
      <w:szCs w:val="16"/>
    </w:rPr>
  </w:style>
  <w:style w:type="paragraph" w:styleId="CommentText">
    <w:name w:val="annotation text"/>
    <w:basedOn w:val="Normal"/>
    <w:link w:val="CommentTextChar"/>
    <w:uiPriority w:val="99"/>
    <w:unhideWhenUsed/>
    <w:rsid w:val="00A31557"/>
    <w:pPr>
      <w:spacing w:line="240" w:lineRule="auto"/>
    </w:pPr>
    <w:rPr>
      <w:sz w:val="20"/>
      <w:szCs w:val="20"/>
    </w:rPr>
  </w:style>
  <w:style w:type="character" w:customStyle="1" w:styleId="CommentTextChar">
    <w:name w:val="Comment Text Char"/>
    <w:basedOn w:val="DefaultParagraphFont"/>
    <w:link w:val="CommentText"/>
    <w:uiPriority w:val="99"/>
    <w:rsid w:val="00A31557"/>
    <w:rPr>
      <w:sz w:val="20"/>
      <w:szCs w:val="20"/>
    </w:rPr>
  </w:style>
  <w:style w:type="paragraph" w:styleId="CommentSubject">
    <w:name w:val="annotation subject"/>
    <w:basedOn w:val="CommentText"/>
    <w:next w:val="CommentText"/>
    <w:link w:val="CommentSubjectChar"/>
    <w:uiPriority w:val="99"/>
    <w:semiHidden/>
    <w:unhideWhenUsed/>
    <w:rsid w:val="00A31557"/>
    <w:rPr>
      <w:b/>
      <w:bCs/>
    </w:rPr>
  </w:style>
  <w:style w:type="character" w:customStyle="1" w:styleId="CommentSubjectChar">
    <w:name w:val="Comment Subject Char"/>
    <w:basedOn w:val="CommentTextChar"/>
    <w:link w:val="CommentSubject"/>
    <w:uiPriority w:val="99"/>
    <w:semiHidden/>
    <w:rsid w:val="00A31557"/>
    <w:rPr>
      <w:b/>
      <w:bCs/>
      <w:sz w:val="20"/>
      <w:szCs w:val="20"/>
    </w:rPr>
  </w:style>
  <w:style w:type="character" w:styleId="Hyperlink">
    <w:name w:val="Hyperlink"/>
    <w:basedOn w:val="DefaultParagraphFont"/>
    <w:uiPriority w:val="99"/>
    <w:unhideWhenUsed/>
    <w:rsid w:val="0004069F"/>
    <w:rPr>
      <w:color w:val="0000FF" w:themeColor="hyperlink"/>
      <w:u w:val="single"/>
    </w:rPr>
  </w:style>
  <w:style w:type="character" w:styleId="UnresolvedMention">
    <w:name w:val="Unresolved Mention"/>
    <w:basedOn w:val="DefaultParagraphFont"/>
    <w:uiPriority w:val="99"/>
    <w:semiHidden/>
    <w:unhideWhenUsed/>
    <w:rsid w:val="0004069F"/>
    <w:rPr>
      <w:color w:val="605E5C"/>
      <w:shd w:val="clear" w:color="auto" w:fill="E1DFDD"/>
    </w:rPr>
  </w:style>
  <w:style w:type="paragraph" w:styleId="Header">
    <w:name w:val="header"/>
    <w:basedOn w:val="Normal"/>
    <w:link w:val="HeaderChar"/>
    <w:uiPriority w:val="99"/>
    <w:semiHidden/>
    <w:unhideWhenUsed/>
    <w:rsid w:val="00640E9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40E94"/>
  </w:style>
  <w:style w:type="paragraph" w:styleId="Footer">
    <w:name w:val="footer"/>
    <w:basedOn w:val="Normal"/>
    <w:link w:val="FooterChar"/>
    <w:uiPriority w:val="99"/>
    <w:semiHidden/>
    <w:unhideWhenUsed/>
    <w:rsid w:val="00640E94"/>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640E94"/>
  </w:style>
  <w:style w:type="paragraph" w:styleId="BalloonText">
    <w:name w:val="Balloon Text"/>
    <w:basedOn w:val="Normal"/>
    <w:link w:val="BalloonTextChar"/>
    <w:uiPriority w:val="99"/>
    <w:semiHidden/>
    <w:unhideWhenUsed/>
    <w:rsid w:val="00046E9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6E96"/>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46E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32D2B9604674489B3729C7CD4C076" ma:contentTypeVersion="18" ma:contentTypeDescription="Create a new document." ma:contentTypeScope="" ma:versionID="06d34dc15916fd9910af79da33747c9a">
  <xsd:schema xmlns:xsd="http://www.w3.org/2001/XMLSchema" xmlns:xs="http://www.w3.org/2001/XMLSchema" xmlns:p="http://schemas.microsoft.com/office/2006/metadata/properties" xmlns:ns2="5687518c-574c-4aa2-a96e-299f2781cf77" xmlns:ns3="3aeff951-c09b-45c5-81ea-276f3999a735" targetNamespace="http://schemas.microsoft.com/office/2006/metadata/properties" ma:root="true" ma:fieldsID="538c2c8d0b0ff5ef8a1922c678fd7baa" ns2:_="" ns3:_="">
    <xsd:import namespace="5687518c-574c-4aa2-a96e-299f2781cf77"/>
    <xsd:import namespace="3aeff951-c09b-45c5-81ea-276f3999a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7518c-574c-4aa2-a96e-299f2781c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f73d0f-580d-40b4-85a5-f6fbd70934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eff951-c09b-45c5-81ea-276f3999a7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c1d737-5bec-4c8c-947b-d4240f444a02}" ma:internalName="TaxCatchAll" ma:showField="CatchAllData" ma:web="3aeff951-c09b-45c5-81ea-276f3999a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87518c-574c-4aa2-a96e-299f2781cf77">
      <Terms xmlns="http://schemas.microsoft.com/office/infopath/2007/PartnerControls"/>
    </lcf76f155ced4ddcb4097134ff3c332f>
    <TaxCatchAll xmlns="3aeff951-c09b-45c5-81ea-276f3999a7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10082-4178-4E32-A04A-53EB752C6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7518c-574c-4aa2-a96e-299f2781cf77"/>
    <ds:schemaRef ds:uri="3aeff951-c09b-45c5-81ea-276f3999a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2BF6AA-26D0-472C-9482-33B06CE201A1}">
  <ds:schemaRefs>
    <ds:schemaRef ds:uri="http://schemas.microsoft.com/office/2006/metadata/properties"/>
    <ds:schemaRef ds:uri="http://schemas.microsoft.com/office/infopath/2007/PartnerControls"/>
    <ds:schemaRef ds:uri="5687518c-574c-4aa2-a96e-299f2781cf77"/>
    <ds:schemaRef ds:uri="3aeff951-c09b-45c5-81ea-276f3999a735"/>
  </ds:schemaRefs>
</ds:datastoreItem>
</file>

<file path=customXml/itemProps3.xml><?xml version="1.0" encoding="utf-8"?>
<ds:datastoreItem xmlns:ds="http://schemas.openxmlformats.org/officeDocument/2006/customXml" ds:itemID="{5E39863D-9C2C-47FD-98E4-AC4469BE8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1948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 Liza</dc:creator>
  <cp:keywords/>
  <cp:lastModifiedBy>joanna cook</cp:lastModifiedBy>
  <cp:revision>2</cp:revision>
  <dcterms:created xsi:type="dcterms:W3CDTF">2024-07-19T10:49:00Z</dcterms:created>
  <dcterms:modified xsi:type="dcterms:W3CDTF">2024-07-19T10:49:00Z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0x01010048332D2B9604674489B3729C7CD4C076</vt:lpwstr>
  </property>
</Properties>
</file>